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017719" w:rsidRPr="00A6523D">
              <w:rPr>
                <w:noProof/>
                <w:w w:val="105"/>
                <w:sz w:val="14"/>
              </w:rPr>
              <w:t>Chairika Nasution, S.AP, MAP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017719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017719" w:rsidRPr="00A6523D">
              <w:rPr>
                <w:noProof/>
                <w:w w:val="105"/>
                <w:sz w:val="14"/>
              </w:rPr>
              <w:t>Azas-Azas Manajemen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017719" w:rsidRPr="00A6523D">
              <w:rPr>
                <w:noProof/>
                <w:w w:val="105"/>
                <w:sz w:val="14"/>
              </w:rPr>
              <w:t>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017719" w:rsidRPr="00A6523D">
              <w:rPr>
                <w:noProof/>
                <w:w w:val="105"/>
                <w:sz w:val="14"/>
              </w:rPr>
              <w:t>Selasa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017719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017719" w:rsidRPr="00A6523D">
              <w:rPr>
                <w:noProof/>
                <w:sz w:val="12"/>
              </w:rPr>
              <w:t>198530019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017719" w:rsidRPr="00A6523D">
              <w:rPr>
                <w:noProof/>
                <w:sz w:val="12"/>
              </w:rPr>
              <w:t>FAUZAN RAMADHAN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873B52" w:rsidRDefault="00873B52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29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46488"/>
    <w:rsid w:val="0041464F"/>
    <w:rsid w:val="00425E80"/>
    <w:rsid w:val="005719AB"/>
    <w:rsid w:val="005870D2"/>
    <w:rsid w:val="007741BC"/>
    <w:rsid w:val="007C5E7D"/>
    <w:rsid w:val="00873B52"/>
    <w:rsid w:val="00D934A5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2020-07-21T08:15:00Z</dcterms:created>
  <dcterms:modified xsi:type="dcterms:W3CDTF">2020-07-21T08:15:00Z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