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</w:rPr>
        <w:t>Perilaku Konsumen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</w:rPr>
        <w:t>IKM 53032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73ED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</w:rPr>
        <w:t>Khairullah, S.I.Kom,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10.40-12.20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noProof/>
          <w:color w:val="000000"/>
          <w:sz w:val="26"/>
          <w:szCs w:val="26"/>
        </w:rPr>
        <w:t>66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73ED2" w:rsidRPr="00B67DCB">
              <w:rPr>
                <w:rFonts w:ascii="Arial Narrow" w:hAnsi="Arial Narrow"/>
                <w:noProof/>
                <w:sz w:val="26"/>
                <w:szCs w:val="26"/>
              </w:rPr>
              <w:t>Khairullah, S.I.Kom,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73ED2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DB16D6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73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478C-2BDD-428C-985A-DBD57A89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2021-05-19T04:29:00Z</dcterms:created>
  <dcterms:modified xsi:type="dcterms:W3CDTF">2021-05-19T04:29:00Z</dcterms:modified>
</cp:coreProperties>
</file>